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городской-центр-жилищных-субсидий"/>
    <w:p>
      <w:pPr>
        <w:pStyle w:val="Heading3"/>
      </w:pPr>
      <w:r>
        <w:t xml:space="preserve">Городской центр жилищных субсидий</w:t>
      </w:r>
    </w:p>
    <w:p>
      <w:pPr>
        <w:pStyle w:val="FirstParagraph"/>
      </w:pPr>
      <w:r>
        <w:t xml:space="preserve">30.10.2015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ptevo.mos.ru/www/upload/medialibrary/a8f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ptevo.mos.ru/www/upload/medialibrary/047/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http://koptevo.mos.ru/overhaul/detail/2269896.html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Коптево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koptevo.mos.ru" TargetMode="External" /><Relationship Type="http://schemas.openxmlformats.org/officeDocument/2006/relationships/hyperlink" Id="rId26" Target="http://koptevo.mos.ru/overhaul/detail/22698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ptevo.mos.ru" TargetMode="External" /><Relationship Type="http://schemas.openxmlformats.org/officeDocument/2006/relationships/hyperlink" Id="rId26" Target="http://koptevo.mos.ru/overhaul/detail/22698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2025-05-24T17:18:05Z</dcterms:created>
  <dcterms:modified xsi:type="dcterms:W3CDTF">2025-05-24T17:18:05Z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